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keepLines/>
        <w:widowControl/>
        <w:spacing w:before="200" w:after="200"/>
        <w:jc w:val="center"/>
      </w:pPr>
      <w:r>
        <w:rPr>
          <w:b/>
          <w:color w:val="12304F"/>
          <w:sz w:val="30"/>
        </w:rPr>
        <w:t>PRŮVODCE POUŽITÍM SMLUVNÍCH SAD 2.0 A 2.1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1. Účel tohoto dokumentu</w:t>
      </w:r>
    </w:p>
    <w:p>
      <w:pPr>
        <w:keepNext w:val="0"/>
        <w:keepLines/>
        <w:widowControl/>
      </w:pPr>
      <w:r>
        <w:t>Tento průvodce sjednocuje práci se smluvní sadou 2.0 a 2.1 tak, aby obchod, administrativa i vedení firmy vždy věděli:</w:t>
      </w:r>
    </w:p>
    <w:p>
      <w:pPr>
        <w:pStyle w:val="ListBullet"/>
        <w:keepNext w:val="0"/>
        <w:keepLines/>
        <w:widowControl/>
      </w:pPr>
      <w:r>
        <w:t>v jaké větvi obchodního případu se nacházejí,</w:t>
      </w:r>
    </w:p>
    <w:p>
      <w:pPr>
        <w:pStyle w:val="ListBullet"/>
        <w:keepNext w:val="0"/>
        <w:keepLines/>
        <w:widowControl/>
      </w:pPr>
      <w:r>
        <w:t>který dokument se má použít,</w:t>
      </w:r>
    </w:p>
    <w:p>
      <w:pPr>
        <w:pStyle w:val="ListBullet"/>
        <w:keepNext w:val="0"/>
        <w:keepLines/>
        <w:widowControl/>
      </w:pPr>
      <w:r>
        <w:t>jaký je obchodní cíl daného kroku,</w:t>
      </w:r>
    </w:p>
    <w:p>
      <w:pPr>
        <w:pStyle w:val="ListBullet"/>
        <w:keepNext w:val="0"/>
        <w:keepLines/>
        <w:widowControl/>
      </w:pPr>
      <w:r>
        <w:t>kde je hrana, za kterou už firma nemá dělat práci zdarma,</w:t>
      </w:r>
    </w:p>
    <w:p>
      <w:pPr>
        <w:pStyle w:val="ListBullet"/>
        <w:keepNext w:val="0"/>
        <w:keepLines/>
        <w:widowControl/>
      </w:pPr>
      <w:r>
        <w:t>kde je potřeba řešit vypořádání, odklad, změnu, předání nebo reklamaci.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2. Jak s playbookem pracovat</w:t>
      </w:r>
    </w:p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2.1. Nejprve se určí, zda obchod běží ve starší provozní sadě 2.0, nebo v nové sjednocené sadě 2.1.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2.2. Poté se otevře scénářová mapa příslušné sady a najde se aktuální větev podle skutečného chování klienta.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2.3. U každé větve se vždy sledují čtyři věci:</w:t>
      </w:r>
    </w:p>
    <w:p>
      <w:pPr>
        <w:pStyle w:val="ListBullet"/>
        <w:keepNext w:val="0"/>
        <w:keepLines/>
        <w:widowControl/>
      </w:pPr>
      <w:r>
        <w:t>spouštěč situace,</w:t>
      </w:r>
    </w:p>
    <w:p>
      <w:pPr>
        <w:pStyle w:val="ListBullet"/>
        <w:keepNext w:val="0"/>
        <w:keepLines/>
        <w:widowControl/>
      </w:pPr>
      <w:r>
        <w:t>primární dokument nebo dokumenty,</w:t>
      </w:r>
    </w:p>
    <w:p>
      <w:pPr>
        <w:pStyle w:val="ListBullet"/>
        <w:keepNext w:val="0"/>
        <w:keepLines/>
        <w:widowControl/>
      </w:pPr>
      <w:r>
        <w:t>obchodní cíl firmy,</w:t>
      </w:r>
    </w:p>
    <w:p>
      <w:pPr>
        <w:pStyle w:val="ListBullet"/>
        <w:keepNext w:val="0"/>
        <w:keepLines/>
        <w:widowControl/>
      </w:pPr>
      <w:r>
        <w:t>navazující další větev.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2.4. Pokud pracovník neví, který konkrétní dokument sáhnout do ruky, otevře nejprve katalog dokumentů. Katalog říká přímo `tento dokument použij, když nastane tato situace`.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2.5. Pokud situace není standardní, obchodník nebo administrátor se nesnaží improvizovat novou logiku. Nejprve se vyhodnotí, jestli jde ještě o variantu některé existující větve. Teprve pokud ne, předá se případ na individuální právní nebo obchodní posouzení.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3. Základní rozdíl mezi 2.0 a 2.1</w:t>
      </w:r>
    </w:p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3.1. Sada 2.0 odpovídá současnému provozu firmy. Má více samostatných smluv a více přepínání mezi dokumenty.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3.2. Sada 2.1 je nová sjednocená architektura. Má méně hlavních dokumentů a více práce se scénáři, moduly a změnovým listem.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3.3. V obou sadách platí stejné tvrdé provozní zásady:</w:t>
      </w:r>
    </w:p>
    <w:p>
      <w:pPr>
        <w:pStyle w:val="ListBullet"/>
        <w:keepNext w:val="0"/>
        <w:keepLines/>
        <w:widowControl/>
      </w:pPr>
      <w:r>
        <w:t>bez uhrazené zálohy se nezačíná,</w:t>
      </w:r>
    </w:p>
    <w:p>
      <w:pPr>
        <w:pStyle w:val="ListBullet"/>
        <w:keepNext w:val="0"/>
        <w:keepLines/>
        <w:widowControl/>
      </w:pPr>
      <w:r>
        <w:t>firma si určuje způsob plnění a subdodavatele,</w:t>
      </w:r>
    </w:p>
    <w:p>
      <w:pPr>
        <w:pStyle w:val="ListBullet"/>
        <w:keepNext w:val="0"/>
        <w:keepLines/>
        <w:widowControl/>
      </w:pPr>
      <w:r>
        <w:t>klient nemá nárok na libovolný osobní výjezd nebo hodinový rozsah, pokud to není výslovně sjednáno,</w:t>
      </w:r>
    </w:p>
    <w:p>
      <w:pPr>
        <w:pStyle w:val="ListBullet"/>
        <w:keepNext w:val="0"/>
        <w:keepLines/>
        <w:widowControl/>
      </w:pPr>
      <w:r>
        <w:t>rezervace ani průzkum nejsou práce zdarma,</w:t>
      </w:r>
    </w:p>
    <w:p>
      <w:pPr>
        <w:pStyle w:val="ListBullet"/>
        <w:keepNext w:val="0"/>
        <w:keepLines/>
        <w:widowControl/>
      </w:pPr>
      <w:r>
        <w:t>po zahájení výroby nebo jiné nevratné etapy už nelze obchod vracet do čistého počátku jen proto, že si to klient rozmyslel; řeší se ekonomické vypořádání a případně náhradní prodej nebo jiné náhradní řešení,</w:t>
      </w:r>
    </w:p>
    <w:p>
      <w:pPr>
        <w:pStyle w:val="ListBullet"/>
        <w:keepNext w:val="0"/>
        <w:keepLines/>
        <w:widowControl/>
      </w:pPr>
      <w:r>
        <w:t>online spotřebitelský režim se musí procesně obsloužit, ne jen zmínit ve smlouvě,</w:t>
      </w:r>
    </w:p>
    <w:p>
      <w:pPr>
        <w:pStyle w:val="ListBullet"/>
        <w:keepNext w:val="0"/>
        <w:keepLines/>
        <w:widowControl/>
      </w:pPr>
      <w:r>
        <w:t>předání a reklamace nejsou jeden krok, ale dva oddělené procesy.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4. Přehled hlavních dokumentů v sadě 2.0</w:t>
      </w:r>
    </w:p>
    <w:p>
      <w:pPr>
        <w:pStyle w:val="ListBullet"/>
        <w:keepNext w:val="0"/>
        <w:keepLines/>
        <w:widowControl/>
      </w:pPr>
      <w:r>
        <w:t>01 - Smlouva o technické pomoci a přípravných pracích v2.0</w:t>
      </w:r>
    </w:p>
    <w:p>
      <w:pPr>
        <w:pStyle w:val="ListBullet"/>
        <w:keepNext w:val="0"/>
        <w:keepLines/>
        <w:widowControl/>
      </w:pPr>
      <w:r>
        <w:t>02 - Rezervační smlouva v2.0</w:t>
      </w:r>
    </w:p>
    <w:p>
      <w:pPr>
        <w:pStyle w:val="ListBullet"/>
        <w:keepNext w:val="0"/>
        <w:keepLines/>
        <w:widowControl/>
      </w:pPr>
      <w:r>
        <w:t>03 - Smlouva o dílo v2.0</w:t>
      </w:r>
    </w:p>
    <w:p>
      <w:pPr>
        <w:pStyle w:val="ListBullet"/>
        <w:keepNext w:val="0"/>
        <w:keepLines/>
        <w:widowControl/>
      </w:pPr>
      <w:r>
        <w:t>04 - Kupní smlouva v2.0</w:t>
      </w:r>
    </w:p>
    <w:p>
      <w:pPr>
        <w:pStyle w:val="ListBullet"/>
        <w:keepNext w:val="0"/>
        <w:keepLines/>
        <w:widowControl/>
      </w:pPr>
      <w:r>
        <w:t>05 - Dodatek č. 1 ke kupní smlouvě v2.0</w:t>
      </w:r>
    </w:p>
    <w:p>
      <w:pPr>
        <w:pStyle w:val="ListBullet"/>
        <w:keepNext w:val="0"/>
        <w:keepLines/>
        <w:widowControl/>
      </w:pPr>
      <w:r>
        <w:t>Příloha 2 - Předávací protokol v2.0</w:t>
      </w:r>
    </w:p>
    <w:p>
      <w:pPr>
        <w:pStyle w:val="ListBullet"/>
        <w:keepNext w:val="0"/>
        <w:keepLines/>
        <w:widowControl/>
      </w:pPr>
      <w:r>
        <w:t>Příloha 3 - Reklamační řád v2.0</w:t>
      </w:r>
    </w:p>
    <w:p>
      <w:pPr>
        <w:pStyle w:val="ListBullet"/>
        <w:keepNext w:val="0"/>
        <w:keepLines/>
        <w:widowControl/>
      </w:pPr>
      <w:r>
        <w:t>Příloha 4 - Čestné prohlášení k uplatnění snížené sazby DPH v2.0</w:t>
      </w:r>
    </w:p>
    <w:p>
      <w:pPr>
        <w:pStyle w:val="ListBullet"/>
        <w:keepNext w:val="0"/>
        <w:keepLines/>
        <w:widowControl/>
      </w:pPr>
      <w:r>
        <w:t>04A - Záznam o odmítnutí převzetí nebo nepřítomnosti klienta při předání</w:t>
      </w:r>
    </w:p>
    <w:p>
      <w:pPr>
        <w:pStyle w:val="ListBullet"/>
        <w:keepNext w:val="0"/>
        <w:keepLines/>
        <w:widowControl/>
      </w:pPr>
      <w:r>
        <w:t>04B - Potvrzení o přijetí reklamace</w:t>
      </w:r>
    </w:p>
    <w:p>
      <w:pPr>
        <w:pStyle w:val="ListBullet"/>
        <w:keepNext w:val="0"/>
        <w:keepLines/>
        <w:widowControl/>
      </w:pPr>
      <w:r>
        <w:t>04C - Reklamační formulář a prvotní hlášení vady</w:t>
      </w:r>
    </w:p>
    <w:p>
      <w:pPr>
        <w:pStyle w:val="ListBullet"/>
        <w:keepNext w:val="0"/>
        <w:keepLines/>
        <w:widowControl/>
      </w:pPr>
      <w:r>
        <w:t>04D - Výzva k doplnění podkladů a vzdálené diagnostice</w:t>
      </w:r>
    </w:p>
    <w:p>
      <w:pPr>
        <w:pStyle w:val="ListBullet"/>
        <w:keepNext w:val="0"/>
        <w:keepLines/>
        <w:widowControl/>
      </w:pPr>
      <w:r>
        <w:t>04E - Souhlas s placeným servisním nebo diagnostickým výjezdem</w:t>
      </w:r>
    </w:p>
    <w:p>
      <w:pPr>
        <w:pStyle w:val="ListBullet"/>
        <w:keepNext w:val="0"/>
        <w:keepLines/>
        <w:widowControl/>
      </w:pPr>
      <w:r>
        <w:t>04F - Protokol o servisním nebo diagnostickém výjezdu</w:t>
      </w:r>
    </w:p>
    <w:p>
      <w:pPr>
        <w:pStyle w:val="ListBullet"/>
        <w:keepNext w:val="0"/>
        <w:keepLines/>
        <w:widowControl/>
      </w:pPr>
      <w:r>
        <w:t>04G - Vyrozumění o uznání reklamace a způsobu vyřízení</w:t>
      </w:r>
    </w:p>
    <w:p>
      <w:pPr>
        <w:pStyle w:val="ListBullet"/>
        <w:keepNext w:val="0"/>
        <w:keepLines/>
        <w:widowControl/>
      </w:pPr>
      <w:r>
        <w:t>04H - Vyrozumění o neuznání reklamace nebo uzavření bez zjištěné vady</w:t>
      </w:r>
    </w:p>
    <w:p>
      <w:pPr>
        <w:pStyle w:val="ListBullet"/>
        <w:keepNext w:val="0"/>
        <w:keepLines/>
        <w:widowControl/>
      </w:pPr>
      <w:r>
        <w:t>04I - Výzva k poskytnutí součinnosti v reklamačním řízení</w:t>
      </w:r>
    </w:p>
    <w:p>
      <w:pPr>
        <w:pStyle w:val="ListBullet"/>
        <w:keepNext w:val="0"/>
        <w:keepLines/>
        <w:widowControl/>
      </w:pPr>
      <w:r>
        <w:t>04J - Dohoda o delší lhůtě vyřízení reklamace</w:t>
      </w:r>
    </w:p>
    <w:p>
      <w:pPr>
        <w:pStyle w:val="ListBullet"/>
        <w:keepNext w:val="0"/>
        <w:keepLines/>
        <w:widowControl/>
      </w:pPr>
      <w:r>
        <w:t>operativní vzory ve složce `pracovni-verze/2.0-operativa`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5. Přehled hlavních dokumentů v sadě 2.1</w:t>
      </w:r>
    </w:p>
    <w:p>
      <w:pPr>
        <w:pStyle w:val="ListBullet"/>
        <w:keepNext w:val="0"/>
        <w:keepLines/>
        <w:widowControl/>
      </w:pPr>
      <w:r>
        <w:t>A - Smlouva o prověření a rezervaci záměru</w:t>
      </w:r>
    </w:p>
    <w:p>
      <w:pPr>
        <w:pStyle w:val="ListBullet"/>
        <w:keepNext w:val="0"/>
        <w:keepLines/>
        <w:widowControl/>
      </w:pPr>
      <w:r>
        <w:t>B - Hlavní smlouva o dodání modulového domu a souvisejících pracích</w:t>
      </w:r>
    </w:p>
    <w:p>
      <w:pPr>
        <w:pStyle w:val="ListBullet"/>
        <w:keepNext w:val="0"/>
        <w:keepLines/>
        <w:widowControl/>
      </w:pPr>
      <w:r>
        <w:t>B - Příloha 1 - Technická specifikace a aktivní moduly plnění</w:t>
      </w:r>
    </w:p>
    <w:p>
      <w:pPr>
        <w:pStyle w:val="ListBullet"/>
        <w:keepNext w:val="0"/>
        <w:keepLines/>
        <w:widowControl/>
      </w:pPr>
      <w:r>
        <w:t>C - Změnový list ke specifikaci, ceně a termínu</w:t>
      </w:r>
    </w:p>
    <w:p>
      <w:pPr>
        <w:pStyle w:val="ListBullet"/>
        <w:keepNext w:val="0"/>
        <w:keepLines/>
        <w:widowControl/>
      </w:pPr>
      <w:r>
        <w:t>sdílené přílohy pro předání, reklamace a DPH</w:t>
      </w:r>
    </w:p>
    <w:p>
      <w:pPr>
        <w:pStyle w:val="ListBullet"/>
        <w:keepNext w:val="0"/>
        <w:keepLines/>
        <w:widowControl/>
      </w:pPr>
      <w:r>
        <w:t>operativní vzory ve složce `pracovni-verze/2.1-operativa`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6. Co je považováno za standardní situaci</w:t>
      </w:r>
    </w:p>
    <w:p>
      <w:pPr>
        <w:keepNext w:val="0"/>
        <w:keepLines/>
        <w:widowControl/>
      </w:pPr>
      <w:r>
        <w:t>Za standardní se považuje situace, kterou lze obsloužit bez tvorby nové právní logiky, tedy zejména:</w:t>
      </w:r>
    </w:p>
    <w:p>
      <w:pPr>
        <w:pStyle w:val="ListBullet"/>
        <w:keepNext w:val="0"/>
        <w:keepLines/>
        <w:widowControl/>
      </w:pPr>
      <w:r>
        <w:t>vstupní prověření,</w:t>
      </w:r>
    </w:p>
    <w:p>
      <w:pPr>
        <w:pStyle w:val="ListBullet"/>
        <w:keepNext w:val="0"/>
        <w:keepLines/>
        <w:widowControl/>
      </w:pPr>
      <w:r>
        <w:t>požadavek na další zálohu,</w:t>
      </w:r>
    </w:p>
    <w:p>
      <w:pPr>
        <w:pStyle w:val="ListBullet"/>
        <w:keepNext w:val="0"/>
        <w:keepLines/>
        <w:widowControl/>
      </w:pPr>
      <w:r>
        <w:t>uzavření nebo prodloužení rezervace,</w:t>
      </w:r>
    </w:p>
    <w:p>
      <w:pPr>
        <w:pStyle w:val="ListBullet"/>
        <w:keepNext w:val="0"/>
        <w:keepLines/>
        <w:widowControl/>
      </w:pPr>
      <w:r>
        <w:t>přechod do hlavní smlouvy,</w:t>
      </w:r>
    </w:p>
    <w:p>
      <w:pPr>
        <w:pStyle w:val="ListBullet"/>
        <w:keepNext w:val="0"/>
        <w:keepLines/>
        <w:widowControl/>
      </w:pPr>
      <w:r>
        <w:t>změna konfigurace nebo ceny,</w:t>
      </w:r>
    </w:p>
    <w:p>
      <w:pPr>
        <w:pStyle w:val="ListBullet"/>
        <w:keepNext w:val="0"/>
        <w:keepLines/>
        <w:widowControl/>
      </w:pPr>
      <w:r>
        <w:t>odklad z důvodů na straně klienta,</w:t>
      </w:r>
    </w:p>
    <w:p>
      <w:pPr>
        <w:pStyle w:val="ListBullet"/>
        <w:keepNext w:val="0"/>
        <w:keepLines/>
        <w:widowControl/>
      </w:pPr>
      <w:r>
        <w:t>ekonomické vypořádání při ukončení,</w:t>
      </w:r>
    </w:p>
    <w:p>
      <w:pPr>
        <w:pStyle w:val="ListBullet"/>
        <w:keepNext w:val="0"/>
        <w:keepLines/>
        <w:widowControl/>
      </w:pPr>
      <w:r>
        <w:t>předání,</w:t>
      </w:r>
    </w:p>
    <w:p>
      <w:pPr>
        <w:pStyle w:val="ListBullet"/>
        <w:keepNext w:val="0"/>
        <w:keepLines/>
        <w:widowControl/>
      </w:pPr>
      <w:r>
        <w:t>reklamace,</w:t>
      </w:r>
    </w:p>
    <w:p>
      <w:pPr>
        <w:pStyle w:val="ListBullet"/>
        <w:keepNext w:val="0"/>
        <w:keepLines/>
        <w:widowControl/>
      </w:pPr>
      <w:r>
        <w:t>servisní nebo diagnostický výjezd,</w:t>
      </w:r>
    </w:p>
    <w:p>
      <w:pPr>
        <w:pStyle w:val="ListBullet"/>
        <w:keepNext w:val="0"/>
        <w:keepLines/>
        <w:widowControl/>
      </w:pPr>
      <w:r>
        <w:t>uznání nebo neuznání reklamace,</w:t>
      </w:r>
    </w:p>
    <w:p>
      <w:pPr>
        <w:pStyle w:val="ListBullet"/>
        <w:keepNext w:val="0"/>
        <w:keepLines/>
        <w:widowControl/>
      </w:pPr>
      <w:r>
        <w:t>řešení nedostatku součinnosti v reklamačním řízení.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7. Co je považováno za nestandardní situaci</w:t>
      </w:r>
    </w:p>
    <w:p>
      <w:pPr>
        <w:keepNext w:val="0"/>
        <w:keepLines/>
        <w:widowControl/>
      </w:pPr>
      <w:r>
        <w:t>Za nestandardní se považuje zejména:</w:t>
      </w:r>
    </w:p>
    <w:p>
      <w:pPr>
        <w:pStyle w:val="ListBullet"/>
        <w:keepNext w:val="0"/>
        <w:keepLines/>
        <w:widowControl/>
      </w:pPr>
      <w:r>
        <w:t>spor o pravost nebo úplnost podkladů,</w:t>
      </w:r>
    </w:p>
    <w:p>
      <w:pPr>
        <w:pStyle w:val="ListBullet"/>
        <w:keepNext w:val="0"/>
        <w:keepLines/>
        <w:widowControl/>
      </w:pPr>
      <w:r>
        <w:t>tvrzení klienta, že byl ústně slíben jiný rozsah plnění,</w:t>
      </w:r>
    </w:p>
    <w:p>
      <w:pPr>
        <w:pStyle w:val="ListBullet"/>
        <w:keepNext w:val="0"/>
        <w:keepLines/>
        <w:widowControl/>
      </w:pPr>
      <w:r>
        <w:t>požadavek na zásadní změnu obchodního modelu uprostřed běžícího případu,</w:t>
      </w:r>
    </w:p>
    <w:p>
      <w:pPr>
        <w:pStyle w:val="ListBullet"/>
        <w:keepNext w:val="0"/>
        <w:keepLines/>
        <w:widowControl/>
      </w:pPr>
      <w:r>
        <w:t>zásah veřejné moci, který zásadně mění realizovatelnost,</w:t>
      </w:r>
    </w:p>
    <w:p>
      <w:pPr>
        <w:pStyle w:val="ListBullet"/>
        <w:keepNext w:val="0"/>
        <w:keepLines/>
        <w:widowControl/>
      </w:pPr>
      <w:r>
        <w:t>kombinace více smluvních režimů, která nemá přímou oporu v playbooku.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8. Doporučený provozní postup uvnitř firmy</w:t>
      </w:r>
    </w:p>
    <w:p>
      <w:pPr>
        <w:pStyle w:val="ListBullet"/>
        <w:keepNext w:val="0"/>
        <w:keepLines/>
        <w:widowControl/>
      </w:pPr>
      <w:r>
        <w:t>obchodník určuje větev,</w:t>
      </w:r>
    </w:p>
    <w:p>
      <w:pPr>
        <w:pStyle w:val="ListBullet"/>
        <w:keepNext w:val="0"/>
        <w:keepLines/>
        <w:widowControl/>
      </w:pPr>
      <w:r>
        <w:t>administrativa kontroluje, zda je připraven správný dokument a správné přílohy,</w:t>
      </w:r>
    </w:p>
    <w:p>
      <w:pPr>
        <w:pStyle w:val="ListBullet"/>
        <w:keepNext w:val="0"/>
        <w:keepLines/>
        <w:widowControl/>
      </w:pPr>
      <w:r>
        <w:t>vedení nebo pověřená osoba potvrzuje odchylky od standardní větve,</w:t>
      </w:r>
    </w:p>
    <w:p>
      <w:pPr>
        <w:pStyle w:val="ListBullet"/>
        <w:keepNext w:val="0"/>
        <w:keepLines/>
        <w:widowControl/>
      </w:pPr>
      <w:r>
        <w:t>po každém významném kroku se do spisu ukládá textový důkaz o tom, co bylo klientovi sděleno a co bylo uhrazeno.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9. Vizualizace větví</w:t>
      </w:r>
    </w:p>
    <w:p>
      <w:pPr>
        <w:keepNext w:val="0"/>
        <w:keepLines/>
        <w:widowControl/>
      </w:pPr>
      <w:r>
        <w:t>Pro rychlou orientaci slouží interaktivní mapa v souboru `vystupy/interaktivni-mapa/index.html`.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9.1. Po označení jedné nebo více větví mapa ztlumí varianty, které na zvolený směr nenavazují.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9.2. V pravém panelu se průběžně skládají:</w:t>
      </w:r>
    </w:p>
    <w:p>
      <w:pPr>
        <w:pStyle w:val="ListBullet"/>
        <w:keepNext w:val="0"/>
        <w:keepLines/>
        <w:widowControl/>
      </w:pPr>
      <w:r>
        <w:t>vybrané scénáře,</w:t>
      </w:r>
    </w:p>
    <w:p>
      <w:pPr>
        <w:pStyle w:val="ListBullet"/>
        <w:keepNext w:val="0"/>
        <w:keepLines/>
        <w:widowControl/>
      </w:pPr>
      <w:r>
        <w:t>navazující další možné kroky,</w:t>
      </w:r>
    </w:p>
    <w:p>
      <w:pPr>
        <w:pStyle w:val="ListBullet"/>
        <w:keepNext w:val="0"/>
        <w:keepLines/>
        <w:widowControl/>
      </w:pPr>
      <w:r>
        <w:t>potřebné dokumenty,</w:t>
      </w:r>
    </w:p>
    <w:p>
      <w:pPr>
        <w:pStyle w:val="ListBullet"/>
        <w:keepNext w:val="0"/>
        <w:keepLines/>
        <w:widowControl/>
      </w:pPr>
      <w:r>
        <w:t>klíčová upozornění,</w:t>
      </w:r>
    </w:p>
    <w:p>
      <w:pPr>
        <w:pStyle w:val="ListBullet"/>
        <w:keepNext w:val="0"/>
        <w:keepLines/>
        <w:widowControl/>
      </w:pPr>
      <w:r>
        <w:t>odkazy do katalogů dokumentů.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9.3. Pro detailní práci s dokumenty slouží tyto katalogy:</w:t>
      </w:r>
    </w:p>
    <w:p>
      <w:pPr>
        <w:pStyle w:val="ListBullet"/>
        <w:keepNext w:val="0"/>
        <w:keepLines/>
        <w:widowControl/>
      </w:pPr>
      <w:r>
        <w:t>`playbook/01 - Katalog dokumentů 2.0 a 2.1`</w:t>
      </w:r>
    </w:p>
    <w:p>
      <w:pPr>
        <w:pStyle w:val="ListBullet"/>
        <w:keepNext w:val="0"/>
        <w:keepLines/>
        <w:widowControl/>
      </w:pPr>
      <w:r>
        <w:t>`playbook/2.0/05 - Katalog dokumentů 2.0`</w:t>
      </w:r>
    </w:p>
    <w:p>
      <w:pPr>
        <w:pStyle w:val="ListBullet"/>
        <w:keepNext w:val="0"/>
        <w:keepLines/>
        <w:widowControl/>
      </w:pPr>
      <w:r>
        <w:t>`playbook/2.1/04 - Katalog dokumentů 2.1`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10. Právní a procesní zdroje, na kterých sada stojí</w:t>
      </w:r>
    </w:p>
    <w:p>
      <w:pPr>
        <w:pStyle w:val="ListBullet"/>
        <w:keepNext w:val="0"/>
        <w:keepLines/>
        <w:widowControl/>
      </w:pPr>
      <w:r>
        <w:t>Česká obchodní inspekce - spotřebitelský průvodce</w:t>
      </w:r>
    </w:p>
    <w:p>
      <w:pPr>
        <w:pStyle w:val="ListBullet"/>
        <w:keepNext w:val="0"/>
        <w:keepLines/>
        <w:widowControl/>
      </w:pPr>
      <w:r>
        <w:t>Česká obchodní inspekce - odstoupení od smlouvy u služeb</w:t>
      </w:r>
    </w:p>
    <w:p>
      <w:pPr>
        <w:pStyle w:val="ListBullet"/>
        <w:keepNext w:val="0"/>
        <w:keepLines/>
        <w:widowControl/>
      </w:pPr>
      <w:r>
        <w:t>Česká obchodní inspekce - zneužívající ujednání ve spotřebitelských smlouvách</w:t>
      </w:r>
    </w:p>
    <w:p>
      <w:pPr>
        <w:pStyle w:val="ListBullet"/>
        <w:keepNext w:val="0"/>
        <w:keepLines/>
        <w:widowControl/>
      </w:pPr>
      <w:r>
        <w:t>Ministerstvo průmyslu a obchodu - předsmluvní informace pro spotřebitele</w:t>
      </w:r>
    </w:p>
    <w:p>
      <w:pPr>
        <w:pStyle w:val="ListBullet"/>
        <w:keepNext w:val="0"/>
        <w:keepLines/>
        <w:widowControl/>
      </w:pPr>
      <w:r>
        <w:t>Finanční správa - informace k DPH u stavebních činnostech a nemovitých věcech od 1. 7. 2025</w:t>
      </w:r>
    </w:p>
    <w:p/>
    <w:p>
      <w:pPr>
        <w:keepNext/>
        <w:keepLines/>
        <w:widowControl/>
        <w:spacing w:before="140" w:after="80"/>
      </w:pPr>
      <w:r>
        <w:rPr>
          <w:b/>
          <w:color w:val="12304F"/>
          <w:sz w:val="23"/>
        </w:rPr>
        <w:t>11. Výstupní pravidlo pro tým</w:t>
      </w:r>
    </w:p>
    <w:p>
      <w:pPr>
        <w:keepNext w:val="0"/>
        <w:keepLines/>
        <w:widowControl/>
      </w:pPr>
      <w:r>
        <w:t>Pokud si pracovník není jistý, nepíše klientovi vlastní právní teorii. Nejprve určí nejbližší větev v mapě a teprve z ní vyjde.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47" w:right="1247" w:bottom="1020" w:left="124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E767A"/>
        <w:sz w:val="16"/>
      </w:rPr>
      <w:t>St@de servis, s.r.o. | Nový rozměr bydlení | kancelar@novyrozmerbydleni.cz | +420 739 673 535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920240" cy="137553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novy-rozmer-bydlen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0240" cy="137553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OpenAI Codex</dc:creator>
  <cp:keywords/>
  <dc:description>Vygenerováno do interního smluvního balíku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